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29BF" w:rsidRPr="009E25FF" w:rsidRDefault="00261516" w:rsidP="00BC29BF">
      <w:pPr>
        <w:spacing w:line="276" w:lineRule="auto"/>
        <w:jc w:val="center"/>
        <w:rPr>
          <w:color w:val="00B050"/>
          <w:sz w:val="48"/>
          <w:szCs w:val="48"/>
        </w:rPr>
      </w:pPr>
      <w:r w:rsidRPr="009E25FF">
        <w:rPr>
          <w:color w:val="00B050"/>
          <w:sz w:val="48"/>
          <w:szCs w:val="48"/>
        </w:rPr>
        <w:t xml:space="preserve">Nyhetsbrev </w:t>
      </w:r>
      <w:r w:rsidR="00B53C89">
        <w:rPr>
          <w:color w:val="00B050"/>
          <w:sz w:val="48"/>
          <w:szCs w:val="48"/>
        </w:rPr>
        <w:t>februari</w:t>
      </w:r>
      <w:r>
        <w:rPr>
          <w:color w:val="00B050"/>
          <w:sz w:val="48"/>
          <w:szCs w:val="48"/>
        </w:rPr>
        <w:t xml:space="preserve"> 202</w:t>
      </w:r>
      <w:r w:rsidR="00B53C89">
        <w:rPr>
          <w:color w:val="00B050"/>
          <w:sz w:val="48"/>
          <w:szCs w:val="48"/>
        </w:rPr>
        <w:t>6</w:t>
      </w:r>
    </w:p>
    <w:p w:rsidR="00BC29BF" w:rsidRDefault="00BC29BF" w:rsidP="00C5242F">
      <w:pPr>
        <w:rPr>
          <w:color w:val="00B050"/>
          <w:sz w:val="32"/>
          <w:szCs w:val="32"/>
        </w:rPr>
      </w:pPr>
    </w:p>
    <w:p w:rsidR="00C5242F" w:rsidRDefault="00B53C89" w:rsidP="00C5242F">
      <w:r>
        <w:rPr>
          <w:color w:val="00B050"/>
          <w:sz w:val="32"/>
          <w:szCs w:val="32"/>
        </w:rPr>
        <w:t>Viktiga datum 2026</w:t>
      </w:r>
      <w:r w:rsidR="00264AF6">
        <w:br/>
      </w:r>
      <w:r w:rsidRPr="00944597">
        <w:rPr>
          <w:i/>
          <w:iCs/>
        </w:rPr>
        <w:t>Årsstämma</w:t>
      </w:r>
      <w:r w:rsidR="007A6F86">
        <w:t>:</w:t>
      </w:r>
      <w:r w:rsidR="00944597">
        <w:t xml:space="preserve"> </w:t>
      </w:r>
      <w:r w:rsidR="009350BE">
        <w:t>den 21 april kl.18.30</w:t>
      </w:r>
      <w:r w:rsidR="00944597">
        <w:t>.</w:t>
      </w:r>
    </w:p>
    <w:p w:rsidR="00B53C89" w:rsidRDefault="00B53C89" w:rsidP="00C5242F">
      <w:r w:rsidRPr="00944597">
        <w:rPr>
          <w:i/>
          <w:iCs/>
        </w:rPr>
        <w:t>Fixardagar</w:t>
      </w:r>
      <w:r w:rsidR="007A6F86">
        <w:t>:</w:t>
      </w:r>
      <w:r w:rsidR="00944597">
        <w:t xml:space="preserve"> </w:t>
      </w:r>
      <w:r w:rsidR="00F64351">
        <w:t>den 15 mars, 26 april, 14 juni, 23 augusti, 25 oktober</w:t>
      </w:r>
      <w:r w:rsidR="00944597">
        <w:t>.</w:t>
      </w:r>
    </w:p>
    <w:p w:rsidR="00A60076" w:rsidRPr="009D4569" w:rsidRDefault="00A60076" w:rsidP="00C5242F">
      <w:pPr>
        <w:rPr>
          <w:rFonts w:eastAsia="Times New Roman"/>
          <w:lang w:eastAsia="sv-SE"/>
        </w:rPr>
      </w:pPr>
    </w:p>
    <w:p w:rsidR="00B53C89" w:rsidRDefault="00B53C89" w:rsidP="00B53C89">
      <w:r>
        <w:rPr>
          <w:color w:val="00B050"/>
          <w:sz w:val="32"/>
          <w:szCs w:val="32"/>
        </w:rPr>
        <w:t>Fulla sopkärl</w:t>
      </w:r>
      <w:r w:rsidR="00C82E34" w:rsidRPr="00C82E34">
        <w:rPr>
          <w:iCs/>
        </w:rPr>
        <w:br/>
      </w:r>
      <w:r>
        <w:t xml:space="preserve">Det finns fortfarande många kartonger som slängs som de är. Vi ber er igen att vika ihop kartongerna så att de tar mindre plats. Vi betalar för varje kärl och det är onödigt att betala för till exempel tre kärl när det egentligen </w:t>
      </w:r>
      <w:r w:rsidR="00E07557">
        <w:t>endast</w:t>
      </w:r>
      <w:r>
        <w:t xml:space="preserve"> behövs två bara för att man inte trycker ihop </w:t>
      </w:r>
      <w:r w:rsidR="00E07557">
        <w:t>kartongerna innan man slänger dem</w:t>
      </w:r>
      <w:r>
        <w:t>.</w:t>
      </w:r>
    </w:p>
    <w:p w:rsidR="00E07557" w:rsidRPr="00E07557" w:rsidRDefault="00944597" w:rsidP="00B53C89">
      <w:pPr>
        <w:rPr>
          <w:rFonts w:eastAsia="Times New Roman"/>
          <w:color w:val="auto"/>
          <w:lang w:eastAsia="sv-SE"/>
        </w:rPr>
      </w:pPr>
      <w:r>
        <w:t xml:space="preserve">     Efter att ha sett hur kärlen fyllts under några veckor har vi beslutat att bara ha två kärl för restavfall och matavfall. Papper/Förpackningar och plast får vardera ett kärl till.</w:t>
      </w:r>
    </w:p>
    <w:p w:rsidR="00B53C89" w:rsidRDefault="00B53C89" w:rsidP="00B53C89"/>
    <w:p w:rsidR="00C5242F" w:rsidRDefault="00B53C89" w:rsidP="00C5242F">
      <w:r>
        <w:rPr>
          <w:color w:val="00B050"/>
          <w:sz w:val="32"/>
          <w:szCs w:val="32"/>
        </w:rPr>
        <w:t>Trädgårdsgruppen</w:t>
      </w:r>
      <w:r w:rsidR="00C82E34" w:rsidRPr="00C82E34">
        <w:rPr>
          <w:color w:val="00B050"/>
        </w:rPr>
        <w:br/>
      </w:r>
      <w:r w:rsidR="006F72A7">
        <w:t>Är du intresserad av trädgårdsarbete och har lust att göra en insats utöver fixardagarna? Då är trädgårdsgruppen något för dig. Du bestämmer själv hur mycket tid du vill lägga ner och vad du vill göra. Ensam eller tillsammans med någon annan i trädgårdsgruppen.</w:t>
      </w:r>
    </w:p>
    <w:p w:rsidR="006F72A7" w:rsidRDefault="00944597" w:rsidP="00C5242F">
      <w:r>
        <w:t xml:space="preserve">    </w:t>
      </w:r>
      <w:r w:rsidR="006F72A7">
        <w:t>Vår trädgård är mycket fin och uppskattad. Vi sköter den själva och tar bara hjälp när det gäller stora saker som arboristarbete. De fem fixardagarna räcker inte för att hålla trädgården fin utan det behövs några som ställer upp med lite extraarbete som att sköta pallkragarna, vattna när det behövs, ta bort ogräs och annat som kan dyka upp.</w:t>
      </w:r>
    </w:p>
    <w:p w:rsidR="006F72A7" w:rsidRDefault="00944597" w:rsidP="00C5242F">
      <w:r>
        <w:t xml:space="preserve">    </w:t>
      </w:r>
      <w:r w:rsidR="006F72A7">
        <w:t>De som är med i trädgårdsgruppen bestämmer också va</w:t>
      </w:r>
      <w:r>
        <w:t>d</w:t>
      </w:r>
      <w:r w:rsidR="006F72A7">
        <w:t xml:space="preserve"> som ska odlas i pallkragarna.</w:t>
      </w:r>
    </w:p>
    <w:p w:rsidR="003A2590" w:rsidRPr="0077525D" w:rsidRDefault="003A2590" w:rsidP="00C82E34">
      <w:pPr>
        <w:spacing w:line="276" w:lineRule="auto"/>
        <w:rPr>
          <w:iCs/>
        </w:rPr>
      </w:pPr>
    </w:p>
    <w:p w:rsidR="006F72A7" w:rsidRPr="00C5242F" w:rsidRDefault="00E07557" w:rsidP="006F72A7">
      <w:pPr>
        <w:rPr>
          <w:bCs/>
        </w:rPr>
      </w:pPr>
      <w:r>
        <w:rPr>
          <w:color w:val="00B050"/>
          <w:sz w:val="32"/>
          <w:szCs w:val="32"/>
        </w:rPr>
        <w:t>Gästparkering</w:t>
      </w:r>
      <w:r w:rsidR="006F72A7">
        <w:br/>
      </w:r>
      <w:r>
        <w:rPr>
          <w:bCs/>
        </w:rPr>
        <w:t>Parkeringsplatserna 70 och 71 är bara för besökande till boende. Andra får parkera på gatan eller någon annanstans.</w:t>
      </w:r>
    </w:p>
    <w:p w:rsidR="006F72A7" w:rsidRDefault="006F72A7" w:rsidP="006F72A7"/>
    <w:p w:rsidR="005B20A8" w:rsidRDefault="005B20A8" w:rsidP="005B20A8">
      <w:pPr>
        <w:rPr>
          <w:rFonts w:eastAsia="Times New Roman"/>
          <w:lang w:eastAsia="sv-SE"/>
        </w:rPr>
      </w:pPr>
      <w:r>
        <w:rPr>
          <w:color w:val="00B050"/>
          <w:sz w:val="32"/>
          <w:szCs w:val="32"/>
        </w:rPr>
        <w:t>Det blir dyrare</w:t>
      </w:r>
      <w:r>
        <w:rPr>
          <w:color w:val="00B050"/>
          <w:sz w:val="32"/>
          <w:szCs w:val="32"/>
        </w:rPr>
        <w:br/>
      </w:r>
      <w:r w:rsidRPr="005B20A8">
        <w:rPr>
          <w:rFonts w:eastAsia="Times New Roman"/>
          <w:lang w:eastAsia="sv-SE"/>
        </w:rPr>
        <w:t>Prisökningarna i samhället påverkar också föreningen</w:t>
      </w:r>
      <w:r>
        <w:rPr>
          <w:rFonts w:eastAsia="Times New Roman"/>
          <w:lang w:eastAsia="sv-SE"/>
        </w:rPr>
        <w:t xml:space="preserve">. </w:t>
      </w:r>
      <w:r w:rsidRPr="005B20A8">
        <w:rPr>
          <w:rFonts w:eastAsia="Times New Roman"/>
          <w:lang w:eastAsia="sv-SE"/>
        </w:rPr>
        <w:t>I tabellen nedan kan du se vad el, vatten, fjärrvärme och snöröjning kostat under januari 2026 jämfört med samma månad 2025.</w:t>
      </w:r>
    </w:p>
    <w:p w:rsidR="005B20A8" w:rsidRPr="005B20A8" w:rsidRDefault="005B20A8" w:rsidP="005B20A8">
      <w:pPr>
        <w:rPr>
          <w:color w:val="00B050"/>
          <w:sz w:val="32"/>
          <w:szCs w:val="32"/>
        </w:rPr>
      </w:pPr>
    </w:p>
    <w:tbl>
      <w:tblPr>
        <w:tblW w:w="5660" w:type="dxa"/>
        <w:tblCellMar>
          <w:left w:w="0" w:type="dxa"/>
          <w:right w:w="0" w:type="dxa"/>
        </w:tblCellMar>
        <w:tblLook w:val="04A0" w:firstRow="1" w:lastRow="0" w:firstColumn="1" w:lastColumn="0" w:noHBand="0" w:noVBand="1"/>
      </w:tblPr>
      <w:tblGrid>
        <w:gridCol w:w="1475"/>
        <w:gridCol w:w="1300"/>
        <w:gridCol w:w="1643"/>
        <w:gridCol w:w="1417"/>
      </w:tblGrid>
      <w:tr w:rsidR="005B20A8" w:rsidRPr="005B20A8" w:rsidTr="005B20A8">
        <w:trPr>
          <w:trHeight w:val="320"/>
        </w:trPr>
        <w:tc>
          <w:tcPr>
            <w:tcW w:w="1300" w:type="dxa"/>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rPr>
                <w:rFonts w:ascii="Verdana" w:eastAsia="Times New Roman" w:hAnsi="Verdana"/>
                <w:color w:val="auto"/>
                <w:lang w:eastAsia="sv-SE"/>
              </w:rPr>
            </w:pPr>
            <w:r w:rsidRPr="005B20A8">
              <w:rPr>
                <w:rFonts w:ascii="Calibri" w:eastAsia="Times New Roman" w:hAnsi="Calibri" w:cs="Calibri"/>
                <w:b/>
                <w:bCs/>
                <w:color w:val="auto"/>
                <w:lang w:eastAsia="sv-SE"/>
              </w:rPr>
              <w:t> </w:t>
            </w:r>
          </w:p>
        </w:tc>
        <w:tc>
          <w:tcPr>
            <w:tcW w:w="1300"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b/>
                <w:bCs/>
                <w:color w:val="auto"/>
                <w:lang w:eastAsia="sv-SE"/>
              </w:rPr>
              <w:t>jan-26</w:t>
            </w:r>
          </w:p>
        </w:tc>
        <w:tc>
          <w:tcPr>
            <w:tcW w:w="1643"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b/>
                <w:bCs/>
                <w:color w:val="auto"/>
                <w:lang w:eastAsia="sv-SE"/>
              </w:rPr>
              <w:t>jan-25</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b/>
                <w:bCs/>
                <w:color w:val="auto"/>
                <w:lang w:eastAsia="sv-SE"/>
              </w:rPr>
              <w:t>ökning</w:t>
            </w:r>
          </w:p>
        </w:tc>
      </w:tr>
      <w:tr w:rsidR="005B20A8" w:rsidRPr="005B20A8" w:rsidTr="005B20A8">
        <w:trPr>
          <w:trHeight w:val="320"/>
        </w:trPr>
        <w:tc>
          <w:tcPr>
            <w:tcW w:w="1300" w:type="dxa"/>
            <w:tcBorders>
              <w:top w:val="nil"/>
              <w:left w:val="single" w:sz="8" w:space="0" w:color="auto"/>
              <w:bottom w:val="nil"/>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rPr>
                <w:rFonts w:ascii="Verdana" w:eastAsia="Times New Roman" w:hAnsi="Verdana"/>
                <w:color w:val="auto"/>
                <w:lang w:eastAsia="sv-SE"/>
              </w:rPr>
            </w:pPr>
            <w:r w:rsidRPr="005B20A8">
              <w:rPr>
                <w:rFonts w:ascii="Calibri" w:eastAsia="Times New Roman" w:hAnsi="Calibri" w:cs="Calibri"/>
                <w:color w:val="auto"/>
                <w:lang w:eastAsia="sv-SE"/>
              </w:rPr>
              <w:t>El</w:t>
            </w:r>
          </w:p>
        </w:tc>
        <w:tc>
          <w:tcPr>
            <w:tcW w:w="1300"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46 126</w:t>
            </w:r>
          </w:p>
        </w:tc>
        <w:tc>
          <w:tcPr>
            <w:tcW w:w="1643"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38 313</w:t>
            </w:r>
          </w:p>
        </w:tc>
        <w:tc>
          <w:tcPr>
            <w:tcW w:w="1417" w:type="dxa"/>
            <w:tcBorders>
              <w:top w:val="nil"/>
              <w:left w:val="nil"/>
              <w:bottom w:val="nil"/>
              <w:right w:val="single" w:sz="8" w:space="0" w:color="auto"/>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20%</w:t>
            </w:r>
          </w:p>
        </w:tc>
      </w:tr>
      <w:tr w:rsidR="005B20A8" w:rsidRPr="005B20A8" w:rsidTr="005B20A8">
        <w:trPr>
          <w:trHeight w:val="320"/>
        </w:trPr>
        <w:tc>
          <w:tcPr>
            <w:tcW w:w="1300" w:type="dxa"/>
            <w:tcBorders>
              <w:top w:val="nil"/>
              <w:left w:val="single" w:sz="8" w:space="0" w:color="auto"/>
              <w:bottom w:val="nil"/>
              <w:right w:val="nil"/>
            </w:tcBorders>
            <w:noWrap/>
            <w:tcMar>
              <w:top w:w="0" w:type="dxa"/>
              <w:left w:w="70" w:type="dxa"/>
              <w:bottom w:w="0" w:type="dxa"/>
              <w:right w:w="70" w:type="dxa"/>
            </w:tcMar>
            <w:vAlign w:val="bottom"/>
            <w:hideMark/>
          </w:tcPr>
          <w:p w:rsidR="005B20A8" w:rsidRPr="005B20A8" w:rsidRDefault="00656BC7" w:rsidP="005B20A8">
            <w:pPr>
              <w:spacing w:before="100" w:beforeAutospacing="1" w:after="100" w:afterAutospacing="1"/>
              <w:rPr>
                <w:rFonts w:ascii="Verdana" w:eastAsia="Times New Roman" w:hAnsi="Verdana"/>
                <w:color w:val="auto"/>
                <w:lang w:eastAsia="sv-SE"/>
              </w:rPr>
            </w:pPr>
            <w:r>
              <w:rPr>
                <w:rFonts w:ascii="Verdana" w:eastAsia="Times New Roman" w:hAnsi="Verdana"/>
                <w:color w:val="auto"/>
                <w:lang w:eastAsia="sv-SE"/>
              </w:rPr>
              <w:t>Fjärrvärme</w:t>
            </w:r>
          </w:p>
        </w:tc>
        <w:tc>
          <w:tcPr>
            <w:tcW w:w="1300"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82 462</w:t>
            </w:r>
          </w:p>
        </w:tc>
        <w:tc>
          <w:tcPr>
            <w:tcW w:w="1643"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67 559</w:t>
            </w:r>
          </w:p>
        </w:tc>
        <w:tc>
          <w:tcPr>
            <w:tcW w:w="1417" w:type="dxa"/>
            <w:tcBorders>
              <w:top w:val="nil"/>
              <w:left w:val="nil"/>
              <w:bottom w:val="nil"/>
              <w:right w:val="single" w:sz="8" w:space="0" w:color="auto"/>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22%</w:t>
            </w:r>
          </w:p>
        </w:tc>
      </w:tr>
      <w:tr w:rsidR="005B20A8" w:rsidRPr="005B20A8" w:rsidTr="005B20A8">
        <w:trPr>
          <w:trHeight w:val="320"/>
        </w:trPr>
        <w:tc>
          <w:tcPr>
            <w:tcW w:w="1300" w:type="dxa"/>
            <w:tcBorders>
              <w:top w:val="nil"/>
              <w:left w:val="single" w:sz="8" w:space="0" w:color="auto"/>
              <w:bottom w:val="nil"/>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rPr>
                <w:rFonts w:ascii="Verdana" w:eastAsia="Times New Roman" w:hAnsi="Verdana"/>
                <w:color w:val="auto"/>
                <w:lang w:eastAsia="sv-SE"/>
              </w:rPr>
            </w:pPr>
            <w:r w:rsidRPr="005B20A8">
              <w:rPr>
                <w:rFonts w:ascii="Calibri" w:eastAsia="Times New Roman" w:hAnsi="Calibri" w:cs="Calibri"/>
                <w:color w:val="auto"/>
                <w:lang w:eastAsia="sv-SE"/>
              </w:rPr>
              <w:t>Vatten</w:t>
            </w:r>
          </w:p>
        </w:tc>
        <w:tc>
          <w:tcPr>
            <w:tcW w:w="1300"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15 214</w:t>
            </w:r>
          </w:p>
        </w:tc>
        <w:tc>
          <w:tcPr>
            <w:tcW w:w="1643"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12 007</w:t>
            </w:r>
          </w:p>
        </w:tc>
        <w:tc>
          <w:tcPr>
            <w:tcW w:w="1417" w:type="dxa"/>
            <w:tcBorders>
              <w:top w:val="nil"/>
              <w:left w:val="nil"/>
              <w:bottom w:val="nil"/>
              <w:right w:val="single" w:sz="8" w:space="0" w:color="auto"/>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27%</w:t>
            </w:r>
          </w:p>
        </w:tc>
      </w:tr>
      <w:tr w:rsidR="005B20A8" w:rsidRPr="005B20A8" w:rsidTr="005B20A8">
        <w:trPr>
          <w:trHeight w:val="320"/>
        </w:trPr>
        <w:tc>
          <w:tcPr>
            <w:tcW w:w="1300" w:type="dxa"/>
            <w:tcBorders>
              <w:top w:val="nil"/>
              <w:left w:val="single" w:sz="8" w:space="0" w:color="auto"/>
              <w:bottom w:val="nil"/>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rPr>
                <w:rFonts w:ascii="Verdana" w:eastAsia="Times New Roman" w:hAnsi="Verdana"/>
                <w:color w:val="auto"/>
                <w:lang w:eastAsia="sv-SE"/>
              </w:rPr>
            </w:pPr>
            <w:r w:rsidRPr="005B20A8">
              <w:rPr>
                <w:rFonts w:ascii="Calibri" w:eastAsia="Times New Roman" w:hAnsi="Calibri" w:cs="Calibri"/>
                <w:color w:val="auto"/>
                <w:lang w:eastAsia="sv-SE"/>
              </w:rPr>
              <w:t>Snöröjning</w:t>
            </w:r>
          </w:p>
        </w:tc>
        <w:tc>
          <w:tcPr>
            <w:tcW w:w="1300"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20 259</w:t>
            </w:r>
          </w:p>
        </w:tc>
        <w:tc>
          <w:tcPr>
            <w:tcW w:w="1643" w:type="dxa"/>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6 525</w:t>
            </w:r>
          </w:p>
        </w:tc>
        <w:tc>
          <w:tcPr>
            <w:tcW w:w="1417" w:type="dxa"/>
            <w:tcBorders>
              <w:top w:val="nil"/>
              <w:left w:val="nil"/>
              <w:bottom w:val="nil"/>
              <w:right w:val="single" w:sz="8" w:space="0" w:color="auto"/>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210%</w:t>
            </w:r>
          </w:p>
        </w:tc>
      </w:tr>
      <w:tr w:rsidR="005B20A8" w:rsidRPr="005B20A8" w:rsidTr="005B20A8">
        <w:trPr>
          <w:trHeight w:val="320"/>
        </w:trPr>
        <w:tc>
          <w:tcPr>
            <w:tcW w:w="1300"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rPr>
                <w:rFonts w:ascii="Verdana" w:eastAsia="Times New Roman" w:hAnsi="Verdana"/>
                <w:color w:val="auto"/>
                <w:lang w:eastAsia="sv-SE"/>
              </w:rPr>
            </w:pPr>
            <w:r w:rsidRPr="005B20A8">
              <w:rPr>
                <w:rFonts w:ascii="Calibri" w:eastAsia="Times New Roman" w:hAnsi="Calibri" w:cs="Calibri"/>
                <w:color w:val="auto"/>
                <w:lang w:eastAsia="sv-SE"/>
              </w:rPr>
              <w:t>Summa</w:t>
            </w:r>
          </w:p>
        </w:tc>
        <w:tc>
          <w:tcPr>
            <w:tcW w:w="1300"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164 061</w:t>
            </w:r>
          </w:p>
        </w:tc>
        <w:tc>
          <w:tcPr>
            <w:tcW w:w="1643"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5B20A8" w:rsidRPr="005B20A8" w:rsidRDefault="00FF1A77" w:rsidP="005B20A8">
            <w:pPr>
              <w:spacing w:before="100" w:beforeAutospacing="1" w:after="100" w:afterAutospacing="1"/>
              <w:jc w:val="right"/>
              <w:rPr>
                <w:rFonts w:ascii="Verdana" w:eastAsia="Times New Roman" w:hAnsi="Verdana"/>
                <w:color w:val="auto"/>
                <w:lang w:eastAsia="sv-SE"/>
              </w:rPr>
            </w:pPr>
            <w:r>
              <w:rPr>
                <w:rFonts w:ascii="Calibri" w:eastAsia="Times New Roman" w:hAnsi="Calibri" w:cs="Calibri"/>
                <w:color w:val="auto"/>
                <w:lang w:eastAsia="sv-SE"/>
              </w:rPr>
              <w:t>12</w:t>
            </w:r>
            <w:r w:rsidR="00656BC7" w:rsidRPr="005B20A8">
              <w:rPr>
                <w:rFonts w:ascii="Calibri" w:eastAsia="Times New Roman" w:hAnsi="Calibri" w:cs="Calibri"/>
                <w:color w:val="auto"/>
                <w:lang w:eastAsia="sv-SE"/>
              </w:rPr>
              <w:t xml:space="preserve">4 </w:t>
            </w:r>
            <w:r>
              <w:rPr>
                <w:rFonts w:ascii="Calibri" w:eastAsia="Times New Roman" w:hAnsi="Calibri" w:cs="Calibri"/>
                <w:color w:val="auto"/>
                <w:lang w:eastAsia="sv-SE"/>
              </w:rPr>
              <w:t>404</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20A8" w:rsidRPr="005B20A8" w:rsidRDefault="005B20A8" w:rsidP="005B20A8">
            <w:pPr>
              <w:spacing w:before="100" w:beforeAutospacing="1" w:after="100" w:afterAutospacing="1"/>
              <w:jc w:val="right"/>
              <w:rPr>
                <w:rFonts w:ascii="Verdana" w:eastAsia="Times New Roman" w:hAnsi="Verdana"/>
                <w:color w:val="auto"/>
                <w:lang w:eastAsia="sv-SE"/>
              </w:rPr>
            </w:pPr>
            <w:r w:rsidRPr="005B20A8">
              <w:rPr>
                <w:rFonts w:ascii="Calibri" w:eastAsia="Times New Roman" w:hAnsi="Calibri" w:cs="Calibri"/>
                <w:color w:val="auto"/>
                <w:lang w:eastAsia="sv-SE"/>
              </w:rPr>
              <w:t>32%</w:t>
            </w:r>
          </w:p>
        </w:tc>
      </w:tr>
    </w:tbl>
    <w:p w:rsidR="003F2A4E" w:rsidRPr="002B0F0F" w:rsidRDefault="003F2A4E" w:rsidP="002B0F0F"/>
    <w:p w:rsidR="008F6C07" w:rsidRDefault="00302CC4" w:rsidP="008F6C07">
      <w:pPr>
        <w:spacing w:line="276" w:lineRule="auto"/>
        <w:jc w:val="right"/>
        <w:rPr>
          <w:i/>
        </w:rPr>
      </w:pPr>
      <w:r w:rsidRPr="00543067">
        <w:rPr>
          <w:iCs/>
        </w:rPr>
        <w:t>Hälsningar</w:t>
      </w:r>
      <w:r w:rsidRPr="00543067">
        <w:rPr>
          <w:iCs/>
        </w:rPr>
        <w:br/>
      </w:r>
      <w:r w:rsidRPr="00543067">
        <w:rPr>
          <w:i/>
        </w:rPr>
        <w:t>Styrelsen</w:t>
      </w:r>
      <w:r w:rsidR="008F6C07">
        <w:rPr>
          <w:i/>
        </w:rPr>
        <w:t xml:space="preserve"> </w:t>
      </w:r>
    </w:p>
    <w:p w:rsidR="002B0F0F" w:rsidRDefault="002B0F0F" w:rsidP="008F6C07">
      <w:pPr>
        <w:spacing w:line="276" w:lineRule="auto"/>
        <w:rPr>
          <w:i/>
          <w:sz w:val="22"/>
          <w:szCs w:val="22"/>
        </w:rPr>
      </w:pPr>
    </w:p>
    <w:p w:rsidR="008F6C07" w:rsidRPr="008F6C07" w:rsidRDefault="008F6C07" w:rsidP="008F6C07">
      <w:pPr>
        <w:spacing w:line="276" w:lineRule="auto"/>
        <w:rPr>
          <w:i/>
          <w:sz w:val="22"/>
          <w:szCs w:val="22"/>
        </w:rPr>
      </w:pPr>
      <w:r w:rsidRPr="008F6C07">
        <w:rPr>
          <w:i/>
          <w:sz w:val="22"/>
          <w:szCs w:val="22"/>
        </w:rPr>
        <w:t xml:space="preserve">Nyhetsbrevet finns också på </w:t>
      </w:r>
      <w:r w:rsidR="00C5242F">
        <w:rPr>
          <w:i/>
          <w:sz w:val="22"/>
          <w:szCs w:val="22"/>
        </w:rPr>
        <w:t xml:space="preserve">föreningens </w:t>
      </w:r>
      <w:r w:rsidRPr="008F6C07">
        <w:rPr>
          <w:i/>
          <w:sz w:val="22"/>
          <w:szCs w:val="22"/>
        </w:rPr>
        <w:t>hemsida: https://vagnmakaren.bostadsratterna.se/</w:t>
      </w:r>
    </w:p>
    <w:sectPr w:rsidR="008F6C07" w:rsidRPr="008F6C07" w:rsidSect="00926F0A">
      <w:pgSz w:w="11900" w:h="16820"/>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20AD1"/>
    <w:multiLevelType w:val="multilevel"/>
    <w:tmpl w:val="5F0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A5A88"/>
    <w:multiLevelType w:val="hybridMultilevel"/>
    <w:tmpl w:val="B23E7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2684758">
    <w:abstractNumId w:val="0"/>
  </w:num>
  <w:num w:numId="2" w16cid:durableId="53431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mirrorMargins/>
  <w:proofState w:spelling="clean" w:grammar="clean"/>
  <w:defaultTabStop w:val="1304"/>
  <w:hyphenationZone w:val="425"/>
  <w:evenAndOddHeaders/>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C"/>
    <w:rsid w:val="00046350"/>
    <w:rsid w:val="00054B69"/>
    <w:rsid w:val="000D785D"/>
    <w:rsid w:val="00114F78"/>
    <w:rsid w:val="0011631D"/>
    <w:rsid w:val="001B35FC"/>
    <w:rsid w:val="001F5DC0"/>
    <w:rsid w:val="00223067"/>
    <w:rsid w:val="00253F64"/>
    <w:rsid w:val="00261516"/>
    <w:rsid w:val="00262DF0"/>
    <w:rsid w:val="00264AF6"/>
    <w:rsid w:val="00273823"/>
    <w:rsid w:val="00273D30"/>
    <w:rsid w:val="002B0F0F"/>
    <w:rsid w:val="002D734D"/>
    <w:rsid w:val="00302CC4"/>
    <w:rsid w:val="00314D31"/>
    <w:rsid w:val="00322EE7"/>
    <w:rsid w:val="003A0487"/>
    <w:rsid w:val="003A2590"/>
    <w:rsid w:val="003C1BD1"/>
    <w:rsid w:val="003F2A4E"/>
    <w:rsid w:val="00484848"/>
    <w:rsid w:val="004C136D"/>
    <w:rsid w:val="004D773F"/>
    <w:rsid w:val="00521D0F"/>
    <w:rsid w:val="00543067"/>
    <w:rsid w:val="00554BFE"/>
    <w:rsid w:val="005B1135"/>
    <w:rsid w:val="005B20A8"/>
    <w:rsid w:val="005D42A1"/>
    <w:rsid w:val="005E7F0B"/>
    <w:rsid w:val="00656BC7"/>
    <w:rsid w:val="006D63A4"/>
    <w:rsid w:val="006F72A7"/>
    <w:rsid w:val="0077525D"/>
    <w:rsid w:val="007A6F86"/>
    <w:rsid w:val="00860DEF"/>
    <w:rsid w:val="008B76A4"/>
    <w:rsid w:val="008F6C07"/>
    <w:rsid w:val="00926F0A"/>
    <w:rsid w:val="009350BE"/>
    <w:rsid w:val="00944597"/>
    <w:rsid w:val="00993984"/>
    <w:rsid w:val="009D4569"/>
    <w:rsid w:val="00A60076"/>
    <w:rsid w:val="00A87B59"/>
    <w:rsid w:val="00AD4CD8"/>
    <w:rsid w:val="00B1609D"/>
    <w:rsid w:val="00B50C2C"/>
    <w:rsid w:val="00B53C89"/>
    <w:rsid w:val="00B726E9"/>
    <w:rsid w:val="00B9363E"/>
    <w:rsid w:val="00BA50A1"/>
    <w:rsid w:val="00BC29BF"/>
    <w:rsid w:val="00BD1F31"/>
    <w:rsid w:val="00BF01EC"/>
    <w:rsid w:val="00C5242F"/>
    <w:rsid w:val="00C57716"/>
    <w:rsid w:val="00C82E34"/>
    <w:rsid w:val="00CA6BE0"/>
    <w:rsid w:val="00CC4FFA"/>
    <w:rsid w:val="00CD71F4"/>
    <w:rsid w:val="00D019E9"/>
    <w:rsid w:val="00D73BC8"/>
    <w:rsid w:val="00E00976"/>
    <w:rsid w:val="00E01A0F"/>
    <w:rsid w:val="00E07557"/>
    <w:rsid w:val="00E20E2B"/>
    <w:rsid w:val="00E83F68"/>
    <w:rsid w:val="00EE0219"/>
    <w:rsid w:val="00F64351"/>
    <w:rsid w:val="00F73EB5"/>
    <w:rsid w:val="00F77E42"/>
    <w:rsid w:val="00F90AEB"/>
    <w:rsid w:val="00F97607"/>
    <w:rsid w:val="00FE0475"/>
    <w:rsid w:val="00FF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E29B9E8"/>
  <w14:defaultImageDpi w14:val="32767"/>
  <w15:chartTrackingRefBased/>
  <w15:docId w15:val="{10F070B4-6615-634F-8E7D-E9455FA1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mbria" w:hAnsi="Times New Roman" w:cs="Times New Roman"/>
        <w:color w:val="000000"/>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A2590"/>
    <w:rPr>
      <w:color w:val="0563C1" w:themeColor="hyperlink"/>
      <w:u w:val="single"/>
    </w:rPr>
  </w:style>
  <w:style w:type="character" w:styleId="Olstomnmnande">
    <w:name w:val="Unresolved Mention"/>
    <w:basedOn w:val="Standardstycketeckensnitt"/>
    <w:uiPriority w:val="99"/>
    <w:rsid w:val="008F6C07"/>
    <w:rPr>
      <w:color w:val="605E5C"/>
      <w:shd w:val="clear" w:color="auto" w:fill="E1DFDD"/>
    </w:rPr>
  </w:style>
  <w:style w:type="paragraph" w:styleId="Liststycke">
    <w:name w:val="List Paragraph"/>
    <w:basedOn w:val="Normal"/>
    <w:uiPriority w:val="34"/>
    <w:qFormat/>
    <w:rsid w:val="00C5242F"/>
    <w:pPr>
      <w:ind w:left="720"/>
      <w:contextualSpacing/>
    </w:pPr>
  </w:style>
  <w:style w:type="character" w:customStyle="1" w:styleId="apple-converted-space">
    <w:name w:val="apple-converted-space"/>
    <w:basedOn w:val="Standardstycketeckensnitt"/>
    <w:rsid w:val="005B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304159">
      <w:bodyDiv w:val="1"/>
      <w:marLeft w:val="0"/>
      <w:marRight w:val="0"/>
      <w:marTop w:val="0"/>
      <w:marBottom w:val="0"/>
      <w:divBdr>
        <w:top w:val="none" w:sz="0" w:space="0" w:color="auto"/>
        <w:left w:val="none" w:sz="0" w:space="0" w:color="auto"/>
        <w:bottom w:val="none" w:sz="0" w:space="0" w:color="auto"/>
        <w:right w:val="none" w:sz="0" w:space="0" w:color="auto"/>
      </w:divBdr>
    </w:div>
    <w:div w:id="1937250678">
      <w:bodyDiv w:val="1"/>
      <w:marLeft w:val="0"/>
      <w:marRight w:val="0"/>
      <w:marTop w:val="0"/>
      <w:marBottom w:val="0"/>
      <w:divBdr>
        <w:top w:val="none" w:sz="0" w:space="0" w:color="auto"/>
        <w:left w:val="none" w:sz="0" w:space="0" w:color="auto"/>
        <w:bottom w:val="none" w:sz="0" w:space="0" w:color="auto"/>
        <w:right w:val="none" w:sz="0" w:space="0" w:color="auto"/>
      </w:divBdr>
      <w:divsChild>
        <w:div w:id="723866588">
          <w:marLeft w:val="0"/>
          <w:marRight w:val="0"/>
          <w:marTop w:val="0"/>
          <w:marBottom w:val="0"/>
          <w:divBdr>
            <w:top w:val="none" w:sz="0" w:space="0" w:color="auto"/>
            <w:left w:val="none" w:sz="0" w:space="0" w:color="auto"/>
            <w:bottom w:val="none" w:sz="0" w:space="0" w:color="auto"/>
            <w:right w:val="none" w:sz="0" w:space="0" w:color="auto"/>
          </w:divBdr>
        </w:div>
        <w:div w:id="1371875511">
          <w:marLeft w:val="0"/>
          <w:marRight w:val="0"/>
          <w:marTop w:val="0"/>
          <w:marBottom w:val="0"/>
          <w:divBdr>
            <w:top w:val="none" w:sz="0" w:space="0" w:color="auto"/>
            <w:left w:val="none" w:sz="0" w:space="0" w:color="auto"/>
            <w:bottom w:val="none" w:sz="0" w:space="0" w:color="auto"/>
            <w:right w:val="none" w:sz="0" w:space="0" w:color="auto"/>
          </w:divBdr>
        </w:div>
        <w:div w:id="344401145">
          <w:marLeft w:val="0"/>
          <w:marRight w:val="0"/>
          <w:marTop w:val="0"/>
          <w:marBottom w:val="0"/>
          <w:divBdr>
            <w:top w:val="none" w:sz="0" w:space="0" w:color="auto"/>
            <w:left w:val="none" w:sz="0" w:space="0" w:color="auto"/>
            <w:bottom w:val="none" w:sz="0" w:space="0" w:color="auto"/>
            <w:right w:val="none" w:sz="0" w:space="0" w:color="auto"/>
          </w:divBdr>
        </w:div>
        <w:div w:id="2026789498">
          <w:marLeft w:val="0"/>
          <w:marRight w:val="0"/>
          <w:marTop w:val="0"/>
          <w:marBottom w:val="0"/>
          <w:divBdr>
            <w:top w:val="none" w:sz="0" w:space="0" w:color="auto"/>
            <w:left w:val="none" w:sz="0" w:space="0" w:color="auto"/>
            <w:bottom w:val="none" w:sz="0" w:space="0" w:color="auto"/>
            <w:right w:val="none" w:sz="0" w:space="0" w:color="auto"/>
          </w:divBdr>
        </w:div>
        <w:div w:id="458229193">
          <w:marLeft w:val="0"/>
          <w:marRight w:val="0"/>
          <w:marTop w:val="0"/>
          <w:marBottom w:val="0"/>
          <w:divBdr>
            <w:top w:val="none" w:sz="0" w:space="0" w:color="auto"/>
            <w:left w:val="none" w:sz="0" w:space="0" w:color="auto"/>
            <w:bottom w:val="none" w:sz="0" w:space="0" w:color="auto"/>
            <w:right w:val="none" w:sz="0" w:space="0" w:color="auto"/>
          </w:divBdr>
        </w:div>
        <w:div w:id="20984417">
          <w:marLeft w:val="0"/>
          <w:marRight w:val="0"/>
          <w:marTop w:val="0"/>
          <w:marBottom w:val="0"/>
          <w:divBdr>
            <w:top w:val="none" w:sz="0" w:space="0" w:color="auto"/>
            <w:left w:val="none" w:sz="0" w:space="0" w:color="auto"/>
            <w:bottom w:val="none" w:sz="0" w:space="0" w:color="auto"/>
            <w:right w:val="none" w:sz="0" w:space="0" w:color="auto"/>
          </w:divBdr>
        </w:div>
        <w:div w:id="1111972116">
          <w:marLeft w:val="0"/>
          <w:marRight w:val="0"/>
          <w:marTop w:val="0"/>
          <w:marBottom w:val="0"/>
          <w:divBdr>
            <w:top w:val="none" w:sz="0" w:space="0" w:color="auto"/>
            <w:left w:val="none" w:sz="0" w:space="0" w:color="auto"/>
            <w:bottom w:val="none" w:sz="0" w:space="0" w:color="auto"/>
            <w:right w:val="none" w:sz="0" w:space="0" w:color="auto"/>
          </w:divBdr>
        </w:div>
        <w:div w:id="1798791459">
          <w:marLeft w:val="0"/>
          <w:marRight w:val="0"/>
          <w:marTop w:val="0"/>
          <w:marBottom w:val="0"/>
          <w:divBdr>
            <w:top w:val="none" w:sz="0" w:space="0" w:color="auto"/>
            <w:left w:val="none" w:sz="0" w:space="0" w:color="auto"/>
            <w:bottom w:val="none" w:sz="0" w:space="0" w:color="auto"/>
            <w:right w:val="none" w:sz="0" w:space="0" w:color="auto"/>
          </w:divBdr>
        </w:div>
        <w:div w:id="741372839">
          <w:marLeft w:val="0"/>
          <w:marRight w:val="0"/>
          <w:marTop w:val="0"/>
          <w:marBottom w:val="0"/>
          <w:divBdr>
            <w:top w:val="none" w:sz="0" w:space="0" w:color="auto"/>
            <w:left w:val="none" w:sz="0" w:space="0" w:color="auto"/>
            <w:bottom w:val="none" w:sz="0" w:space="0" w:color="auto"/>
            <w:right w:val="none" w:sz="0" w:space="0" w:color="auto"/>
          </w:divBdr>
        </w:div>
        <w:div w:id="2118864633">
          <w:marLeft w:val="0"/>
          <w:marRight w:val="0"/>
          <w:marTop w:val="0"/>
          <w:marBottom w:val="0"/>
          <w:divBdr>
            <w:top w:val="none" w:sz="0" w:space="0" w:color="auto"/>
            <w:left w:val="none" w:sz="0" w:space="0" w:color="auto"/>
            <w:bottom w:val="none" w:sz="0" w:space="0" w:color="auto"/>
            <w:right w:val="none" w:sz="0" w:space="0" w:color="auto"/>
          </w:divBdr>
        </w:div>
        <w:div w:id="938831913">
          <w:marLeft w:val="0"/>
          <w:marRight w:val="0"/>
          <w:marTop w:val="0"/>
          <w:marBottom w:val="0"/>
          <w:divBdr>
            <w:top w:val="none" w:sz="0" w:space="0" w:color="auto"/>
            <w:left w:val="none" w:sz="0" w:space="0" w:color="auto"/>
            <w:bottom w:val="none" w:sz="0" w:space="0" w:color="auto"/>
            <w:right w:val="none" w:sz="0" w:space="0" w:color="auto"/>
          </w:divBdr>
        </w:div>
      </w:divsChild>
    </w:div>
    <w:div w:id="19754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314</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Malmer</dc:creator>
  <cp:keywords/>
  <dc:description/>
  <cp:lastModifiedBy>Mai Parada</cp:lastModifiedBy>
  <cp:revision>33</cp:revision>
  <cp:lastPrinted>2026-02-24T17:10:00Z</cp:lastPrinted>
  <dcterms:created xsi:type="dcterms:W3CDTF">2025-05-09T21:28:00Z</dcterms:created>
  <dcterms:modified xsi:type="dcterms:W3CDTF">2026-03-26T09:16:00Z</dcterms:modified>
</cp:coreProperties>
</file>